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28797E">
        <w:rPr>
          <w:sz w:val="22"/>
          <w:szCs w:val="22"/>
        </w:rPr>
        <w:t>27</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28797E">
        <w:rPr>
          <w:b/>
        </w:rPr>
        <w:t>57</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28797E">
        <w:rPr>
          <w:b/>
          <w:sz w:val="22"/>
          <w:szCs w:val="22"/>
        </w:rPr>
        <w:t>27</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1E6715">
        <w:t>Departamentos 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28797E">
        <w:rPr>
          <w:sz w:val="22"/>
          <w:szCs w:val="22"/>
        </w:rPr>
        <w:t>583.907,50</w:t>
      </w:r>
      <w:r w:rsidRPr="003E689F">
        <w:rPr>
          <w:sz w:val="22"/>
          <w:szCs w:val="22"/>
        </w:rPr>
        <w:t xml:space="preserve"> (</w:t>
      </w:r>
      <w:r w:rsidR="0028797E">
        <w:rPr>
          <w:sz w:val="22"/>
          <w:szCs w:val="22"/>
        </w:rPr>
        <w:t>quinhentos e opitenta e três mil, novecentos e sete reais e cinquenta centavos</w:t>
      </w:r>
      <w:r w:rsidR="0039676A" w:rsidRPr="003E689F">
        <w:rPr>
          <w:sz w:val="22"/>
          <w:szCs w:val="22"/>
        </w:rPr>
        <w:t>).</w:t>
      </w:r>
    </w:p>
    <w:p w:rsidR="00FE1AB3" w:rsidRPr="003E689F" w:rsidRDefault="00767670" w:rsidP="00571658">
      <w:pPr>
        <w:pStyle w:val="Corpodetexto"/>
        <w:spacing w:before="240"/>
        <w:ind w:left="284"/>
        <w:jc w:val="both"/>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571658" w:rsidRPr="00571658">
        <w:rPr>
          <w:b/>
          <w:sz w:val="22"/>
          <w:szCs w:val="22"/>
        </w:rPr>
        <w:t>PARA REGISTRO DE PREÇOS PARA O FORNECIMENTO PARCELADO DE COMBUSTÍVEIS PARA OS VEÍCULOS E MAQUINÁRIOS DA FROTA DA PREFEITURA MUNICIPAL DE RIBEIRÃO CORRENTE/SP</w:t>
      </w:r>
      <w:r w:rsidR="001E6715">
        <w:rPr>
          <w:b/>
          <w:sz w:val="22"/>
          <w:szCs w:val="22"/>
        </w:rPr>
        <w:t>, CONFORME ESPECIFICAÇÕES CONSTANTES NO TERMO DE REFERÊNCIA E ANEXO I DESTE EDITAL</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571658">
        <w:rPr>
          <w:color w:val="FF0000"/>
        </w:rPr>
        <w:t>09</w:t>
      </w:r>
      <w:r w:rsidRPr="003E689F">
        <w:rPr>
          <w:color w:val="FF0000"/>
        </w:rPr>
        <w:t xml:space="preserve"> horas </w:t>
      </w:r>
      <w:r w:rsidRPr="003E689F">
        <w:t xml:space="preserve">do dia </w:t>
      </w:r>
      <w:r w:rsidR="0028797E">
        <w:rPr>
          <w:color w:val="FF0000"/>
        </w:rPr>
        <w:t>10</w:t>
      </w:r>
      <w:r w:rsidRPr="00963B4E">
        <w:rPr>
          <w:color w:val="FF0000"/>
        </w:rPr>
        <w:t xml:space="preserve"> d</w:t>
      </w:r>
      <w:r w:rsidRPr="003E689F">
        <w:rPr>
          <w:color w:val="FF0000"/>
        </w:rPr>
        <w:t xml:space="preserve">e </w:t>
      </w:r>
      <w:r w:rsidR="0028797E">
        <w:rPr>
          <w:color w:val="FF0000"/>
        </w:rPr>
        <w:t>dezembro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571658">
        <w:rPr>
          <w:color w:val="FF0000"/>
        </w:rPr>
        <w:t>1</w:t>
      </w:r>
      <w:r w:rsidR="0028797E">
        <w:rPr>
          <w:color w:val="FF0000"/>
        </w:rPr>
        <w:t>0</w:t>
      </w:r>
      <w:r w:rsidRPr="003E689F">
        <w:rPr>
          <w:color w:val="FF0000"/>
        </w:rPr>
        <w:t xml:space="preserve"> de </w:t>
      </w:r>
      <w:r w:rsidR="0028797E">
        <w:rPr>
          <w:color w:val="FF0000"/>
        </w:rPr>
        <w:t xml:space="preserve">dezembro </w:t>
      </w:r>
      <w:r w:rsidRPr="003E689F">
        <w:rPr>
          <w:color w:val="FF0000"/>
        </w:rPr>
        <w:t xml:space="preserve">de 2020 </w:t>
      </w:r>
      <w:proofErr w:type="gramStart"/>
      <w:r w:rsidR="0039676A" w:rsidRPr="003E689F">
        <w:t>às</w:t>
      </w:r>
      <w:proofErr w:type="gramEnd"/>
      <w:r w:rsidR="0039676A" w:rsidRPr="003E689F">
        <w:t xml:space="preserve"> </w:t>
      </w:r>
      <w:r w:rsidR="0057165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28797E">
        <w:rPr>
          <w:color w:val="FF0000"/>
        </w:rPr>
        <w:t>10</w:t>
      </w:r>
      <w:r w:rsidR="00185A2F">
        <w:rPr>
          <w:color w:val="FF0000"/>
        </w:rPr>
        <w:t xml:space="preserve"> de </w:t>
      </w:r>
      <w:r w:rsidR="0028797E">
        <w:rPr>
          <w:color w:val="FF0000"/>
        </w:rPr>
        <w:t>dezembro</w:t>
      </w:r>
      <w:r w:rsidRPr="003E689F">
        <w:rPr>
          <w:color w:val="FF0000"/>
        </w:rPr>
        <w:t xml:space="preserve"> de 2020 </w:t>
      </w:r>
      <w:r w:rsidRPr="003E689F">
        <w:t xml:space="preserve">a partir das </w:t>
      </w:r>
      <w:r w:rsidR="0057165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lastRenderedPageBreak/>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571658" w:rsidRPr="00571658">
        <w:rPr>
          <w:b/>
        </w:rPr>
        <w:t>PARA REGISTRO DE PREÇOS PARA O FORNECIMENTO PARCELADO DE COMBUSTÍVEIS PARA OS VEÍCULOS E MAQUINÁRIOS DA FROTA DA PREFEITURA MUNICIPAL DE RIBEIRÃO CORRENTE/SP</w:t>
      </w:r>
      <w:r w:rsidR="00571658">
        <w:rPr>
          <w:b/>
        </w:rPr>
        <w:t>, CONFORME ESPECIFICAÇÕES CONSTANTES NO TERMO DE REFERÊNCIA E ANEXO I DESTE EDITAL</w:t>
      </w:r>
      <w:r w:rsidRPr="003E689F">
        <w:rPr>
          <w:b/>
        </w:rPr>
        <w:t>.</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lastRenderedPageBreak/>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 xml:space="preserve">de sua atividade/fornecimento e os tributos eventualmente incidentes, bem como as demais </w:t>
      </w:r>
      <w:r w:rsidRPr="003E689F">
        <w:lastRenderedPageBreak/>
        <w:t>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lastRenderedPageBreak/>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w:t>
      </w:r>
      <w:r w:rsidRPr="003E689F">
        <w:lastRenderedPageBreak/>
        <w:t xml:space="preserve">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571658">
        <w:t xml:space="preserve"> PREFEITURA MUNICIPAL DE RIBEIRÃO CORRENTE</w:t>
      </w:r>
      <w:r w:rsidR="006B7D11" w:rsidRPr="003E689F">
        <w:t>,</w:t>
      </w:r>
      <w:r w:rsidRPr="003E689F">
        <w:t xml:space="preserve"> SITO NA RUA </w:t>
      </w:r>
      <w:r w:rsidR="00571658">
        <w:t>PRUDENTE DE MORAES</w:t>
      </w:r>
      <w:r w:rsidR="006B7D11" w:rsidRPr="003E689F">
        <w:t>,</w:t>
      </w:r>
      <w:r w:rsidR="00571658">
        <w:t xml:space="preserve"> 850</w:t>
      </w:r>
      <w:r w:rsidR="006B7D11" w:rsidRPr="003E689F">
        <w:t xml:space="preserve"> - </w:t>
      </w:r>
      <w:r w:rsidRPr="003E689F">
        <w:t xml:space="preserve">RIBEIRÃO </w:t>
      </w:r>
      <w:r w:rsidR="006B7D11" w:rsidRPr="003E689F">
        <w:t>CORRENTE</w:t>
      </w:r>
      <w:r w:rsidRPr="003E689F">
        <w:t xml:space="preserve">/SP - CEP: </w:t>
      </w:r>
      <w:proofErr w:type="gramStart"/>
      <w:r w:rsidRPr="003E689F">
        <w:t>14</w:t>
      </w:r>
      <w:r w:rsidR="006B7D11" w:rsidRPr="003E689F">
        <w:t>445</w:t>
      </w:r>
      <w:r w:rsidR="00571658">
        <w:t>-</w:t>
      </w:r>
      <w:r w:rsidR="006B7D11" w:rsidRPr="003E689F">
        <w:t>000</w:t>
      </w:r>
      <w:r w:rsidRPr="003E689F">
        <w:t>, no horário das 07h30min h</w:t>
      </w:r>
      <w:proofErr w:type="gramEnd"/>
      <w:r w:rsidRPr="003E689F">
        <w:t xml:space="preserve">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lastRenderedPageBreak/>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28797E">
        <w:rPr>
          <w:sz w:val="22"/>
          <w:szCs w:val="22"/>
        </w:rPr>
        <w:t>30</w:t>
      </w:r>
      <w:r w:rsidR="00767670" w:rsidRPr="003E689F">
        <w:rPr>
          <w:color w:val="FF0000"/>
          <w:sz w:val="22"/>
          <w:szCs w:val="22"/>
        </w:rPr>
        <w:t xml:space="preserve"> </w:t>
      </w:r>
      <w:r w:rsidR="00767670" w:rsidRPr="003E689F">
        <w:rPr>
          <w:sz w:val="22"/>
          <w:szCs w:val="22"/>
        </w:rPr>
        <w:t xml:space="preserve">de </w:t>
      </w:r>
      <w:r w:rsidR="00D27EB9">
        <w:rPr>
          <w:sz w:val="22"/>
          <w:szCs w:val="22"/>
        </w:rPr>
        <w:t>novembro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9"/>
          <w:footerReference w:type="default" r:id="rId10"/>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28797E">
        <w:t>27</w:t>
      </w:r>
      <w:r w:rsidRPr="003E689F">
        <w:t>/2020</w:t>
      </w:r>
    </w:p>
    <w:p w:rsidR="00FE1AB3" w:rsidRPr="003E689F" w:rsidRDefault="00767670" w:rsidP="00F02939">
      <w:pPr>
        <w:spacing w:line="276" w:lineRule="auto"/>
        <w:ind w:left="232"/>
      </w:pPr>
      <w:r w:rsidRPr="003E689F">
        <w:rPr>
          <w:b/>
        </w:rPr>
        <w:t xml:space="preserve">Processo de Compra n° </w:t>
      </w:r>
      <w:r w:rsidR="0028797E">
        <w:t>57</w:t>
      </w:r>
      <w:r w:rsidRPr="003E689F">
        <w:t>/2020</w:t>
      </w:r>
    </w:p>
    <w:p w:rsidR="00FE1AB3" w:rsidRPr="00571658"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1E6715" w:rsidRPr="001E6715">
        <w:rPr>
          <w:b/>
        </w:rPr>
        <w:t xml:space="preserve"> </w:t>
      </w:r>
      <w:r w:rsidR="001E6715">
        <w:rPr>
          <w:b/>
        </w:rPr>
        <w:t>“</w:t>
      </w:r>
      <w:r w:rsidR="00571658" w:rsidRPr="00571658">
        <w:rPr>
          <w:rFonts w:ascii="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00E27E21" w:rsidRPr="00571658">
        <w:rPr>
          <w:rFonts w:ascii="Arial" w:hAnsi="Arial" w:cs="Arial"/>
          <w:b/>
        </w:rPr>
        <w:t>”.</w:t>
      </w:r>
    </w:p>
    <w:p w:rsidR="00FE1AB3" w:rsidRPr="001E6715" w:rsidRDefault="00FE1AB3" w:rsidP="00F02939">
      <w:pPr>
        <w:pStyle w:val="Corpodetexto"/>
        <w:spacing w:before="9" w:line="276" w:lineRule="auto"/>
        <w:rPr>
          <w:b/>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173987" w:rsidRPr="003E689F" w:rsidRDefault="00173987" w:rsidP="00173987">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4B154D" w:rsidRPr="004E5CB0" w:rsidTr="0028797E">
        <w:trPr>
          <w:trHeight w:val="285"/>
          <w:jc w:val="center"/>
        </w:trPr>
        <w:tc>
          <w:tcPr>
            <w:tcW w:w="567" w:type="dxa"/>
            <w:tcBorders>
              <w:top w:val="double" w:sz="6" w:space="0" w:color="auto"/>
              <w:left w:val="double" w:sz="6" w:space="0" w:color="auto"/>
              <w:bottom w:val="single" w:sz="4" w:space="0" w:color="auto"/>
              <w:right w:val="double" w:sz="6" w:space="0" w:color="auto"/>
            </w:tcBorders>
            <w:shd w:val="clear" w:color="auto" w:fill="A6A6A6" w:themeFill="background1" w:themeFillShade="A6"/>
            <w:noWrap/>
            <w:vAlign w:val="center"/>
          </w:tcPr>
          <w:p w:rsidR="004B154D" w:rsidRPr="00942F07" w:rsidRDefault="004B154D" w:rsidP="0057165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4B154D" w:rsidRPr="004E5CB0" w:rsidRDefault="004B154D" w:rsidP="0057165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Pr="004E5CB0" w:rsidRDefault="004B154D" w:rsidP="00571658">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Default="004B154D" w:rsidP="00571658">
            <w:pPr>
              <w:jc w:val="center"/>
              <w:rPr>
                <w:b/>
                <w:sz w:val="18"/>
                <w:szCs w:val="18"/>
              </w:rPr>
            </w:pPr>
            <w:r>
              <w:rPr>
                <w:b/>
                <w:sz w:val="18"/>
                <w:szCs w:val="18"/>
              </w:rPr>
              <w:t>Valor Total</w:t>
            </w:r>
          </w:p>
        </w:tc>
      </w:tr>
      <w:tr w:rsidR="004B154D" w:rsidRPr="004E5CB0" w:rsidTr="0028797E">
        <w:tblPrEx>
          <w:tblLook w:val="00A0" w:firstRow="1" w:lastRow="0" w:firstColumn="1" w:lastColumn="0" w:noHBand="0" w:noVBand="0"/>
        </w:tblPrEx>
        <w:trPr>
          <w:trHeight w:val="510"/>
          <w:jc w:val="center"/>
        </w:trPr>
        <w:tc>
          <w:tcPr>
            <w:tcW w:w="567" w:type="dxa"/>
            <w:tcBorders>
              <w:top w:val="single" w:sz="4" w:space="0" w:color="auto"/>
              <w:left w:val="single" w:sz="4" w:space="0" w:color="auto"/>
              <w:bottom w:val="single" w:sz="4" w:space="0" w:color="auto"/>
              <w:right w:val="single" w:sz="4" w:space="0" w:color="auto"/>
            </w:tcBorders>
            <w:vAlign w:val="center"/>
          </w:tcPr>
          <w:p w:rsidR="004B154D" w:rsidRPr="009C571E" w:rsidRDefault="004B154D" w:rsidP="00571658">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4B154D" w:rsidRPr="004E5CB0" w:rsidRDefault="0028797E" w:rsidP="0028797E">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4B154D" w:rsidRPr="004E5CB0" w:rsidRDefault="004B154D" w:rsidP="00571658">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4B154D" w:rsidRPr="004E5CB0" w:rsidRDefault="004B154D" w:rsidP="0057165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4B154D" w:rsidRPr="0030279E" w:rsidRDefault="004B154D" w:rsidP="00571658">
            <w:pPr>
              <w:jc w:val="both"/>
              <w:rPr>
                <w:sz w:val="20"/>
                <w:szCs w:val="20"/>
              </w:rPr>
            </w:pPr>
          </w:p>
        </w:tc>
        <w:tc>
          <w:tcPr>
            <w:tcW w:w="1173" w:type="dxa"/>
            <w:tcBorders>
              <w:top w:val="nil"/>
              <w:left w:val="nil"/>
              <w:bottom w:val="nil"/>
              <w:right w:val="single" w:sz="4" w:space="0" w:color="auto"/>
            </w:tcBorders>
          </w:tcPr>
          <w:p w:rsidR="004B154D" w:rsidRPr="0030279E" w:rsidRDefault="004B154D" w:rsidP="00571658">
            <w:pPr>
              <w:jc w:val="both"/>
              <w:rPr>
                <w:sz w:val="20"/>
                <w:szCs w:val="20"/>
              </w:rPr>
            </w:pPr>
          </w:p>
        </w:tc>
      </w:tr>
    </w:tbl>
    <w:p w:rsidR="00173987" w:rsidRPr="00274383" w:rsidRDefault="00173987" w:rsidP="00173987">
      <w:pPr>
        <w:adjustRightInd w:val="0"/>
        <w:spacing w:line="360" w:lineRule="auto"/>
        <w:rPr>
          <w:b/>
          <w:bCs/>
          <w:color w:val="000000"/>
        </w:rPr>
      </w:pPr>
    </w:p>
    <w:p w:rsidR="00F02939" w:rsidRPr="00274383" w:rsidRDefault="00F02939" w:rsidP="00173987">
      <w:pPr>
        <w:pStyle w:val="SemEspaamento"/>
        <w:jc w:val="both"/>
        <w:rPr>
          <w:b/>
          <w:u w:val="single"/>
        </w:rPr>
      </w:pPr>
    </w:p>
    <w:p w:rsidR="00FE1AB3" w:rsidRPr="00274383" w:rsidRDefault="00767670" w:rsidP="00F02939">
      <w:pPr>
        <w:spacing w:before="206" w:line="276" w:lineRule="auto"/>
        <w:ind w:left="284"/>
        <w:rPr>
          <w:b/>
        </w:rPr>
      </w:pPr>
      <w:r w:rsidRPr="00274383">
        <w:rPr>
          <w:b/>
          <w:u w:val="single"/>
        </w:rPr>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1E6715">
        <w:rPr>
          <w:rFonts w:ascii="Arial" w:hAnsi="Arial" w:cs="Arial"/>
          <w:b/>
        </w:rPr>
        <w:t xml:space="preserve"> “</w:t>
      </w:r>
      <w:r w:rsidR="00571658" w:rsidRPr="00571658">
        <w:rPr>
          <w:rFonts w:ascii="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Pr="003E689F">
        <w:rPr>
          <w:rFonts w:ascii="Arial" w:hAnsi="Arial" w:cs="Arial"/>
          <w:b/>
        </w:rPr>
        <w:t>”.</w:t>
      </w:r>
    </w:p>
    <w:p w:rsidR="009F7086" w:rsidRPr="003E689F" w:rsidRDefault="009F7086" w:rsidP="009F7086">
      <w:pPr>
        <w:pStyle w:val="SemEspaamento"/>
        <w:ind w:left="-709"/>
        <w:rPr>
          <w:rFonts w:ascii="Arial" w:hAnsi="Arial" w:cs="Arial"/>
        </w:rPr>
      </w:pPr>
    </w:p>
    <w:p w:rsidR="00614E3A" w:rsidRDefault="00614E3A" w:rsidP="00614E3A">
      <w:pPr>
        <w:pStyle w:val="SemEspaamento"/>
        <w:numPr>
          <w:ilvl w:val="0"/>
          <w:numId w:val="15"/>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p>
    <w:p w:rsidR="00614E3A" w:rsidRPr="003E689F" w:rsidRDefault="00614E3A" w:rsidP="00614E3A">
      <w:pPr>
        <w:pStyle w:val="SemEspaamento"/>
        <w:ind w:left="-709"/>
        <w:rPr>
          <w:rFonts w:ascii="Arial" w:hAnsi="Arial" w:cs="Arial"/>
        </w:rPr>
      </w:pPr>
    </w:p>
    <w:tbl>
      <w:tblPr>
        <w:tblW w:w="7425"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5440"/>
      </w:tblGrid>
      <w:tr w:rsidR="00614E3A" w:rsidRPr="004E5CB0" w:rsidTr="0028797E">
        <w:trPr>
          <w:trHeight w:val="285"/>
          <w:jc w:val="center"/>
        </w:trPr>
        <w:tc>
          <w:tcPr>
            <w:tcW w:w="567" w:type="dxa"/>
            <w:tcBorders>
              <w:top w:val="double" w:sz="6" w:space="0" w:color="auto"/>
              <w:left w:val="double" w:sz="6" w:space="0" w:color="auto"/>
              <w:bottom w:val="single" w:sz="4" w:space="0" w:color="auto"/>
              <w:right w:val="double" w:sz="6" w:space="0" w:color="auto"/>
            </w:tcBorders>
            <w:shd w:val="clear" w:color="auto" w:fill="A6A6A6" w:themeFill="background1" w:themeFillShade="A6"/>
            <w:noWrap/>
            <w:vAlign w:val="center"/>
          </w:tcPr>
          <w:p w:rsidR="00614E3A" w:rsidRPr="00942F07" w:rsidRDefault="00614E3A" w:rsidP="007D205B">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7D205B">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UN.</w:t>
            </w:r>
          </w:p>
        </w:tc>
        <w:tc>
          <w:tcPr>
            <w:tcW w:w="5440"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DESCRIÇÃO</w:t>
            </w:r>
          </w:p>
        </w:tc>
      </w:tr>
      <w:tr w:rsidR="00614E3A" w:rsidRPr="004E5CB0" w:rsidTr="0028797E">
        <w:tblPrEx>
          <w:tblLook w:val="00A0" w:firstRow="1" w:lastRow="0" w:firstColumn="1" w:lastColumn="0" w:noHBand="0" w:noVBand="0"/>
        </w:tblPrEx>
        <w:trPr>
          <w:trHeight w:val="510"/>
          <w:jc w:val="center"/>
        </w:trPr>
        <w:tc>
          <w:tcPr>
            <w:tcW w:w="567" w:type="dxa"/>
            <w:tcBorders>
              <w:top w:val="single" w:sz="4" w:space="0" w:color="auto"/>
              <w:left w:val="single" w:sz="4" w:space="0" w:color="auto"/>
              <w:bottom w:val="single" w:sz="4" w:space="0" w:color="auto"/>
              <w:right w:val="single" w:sz="4" w:space="0" w:color="auto"/>
            </w:tcBorders>
            <w:vAlign w:val="center"/>
          </w:tcPr>
          <w:p w:rsidR="00614E3A" w:rsidRPr="009C571E" w:rsidRDefault="00614E3A" w:rsidP="007D205B">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28797E" w:rsidP="007D205B">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614E3A" w:rsidRPr="004E5CB0" w:rsidRDefault="00614E3A" w:rsidP="007D205B">
            <w:pPr>
              <w:jc w:val="center"/>
              <w:rPr>
                <w:color w:val="000000"/>
                <w:sz w:val="16"/>
                <w:szCs w:val="16"/>
              </w:rPr>
            </w:pPr>
            <w:proofErr w:type="gramStart"/>
            <w:r>
              <w:rPr>
                <w:color w:val="000000"/>
                <w:sz w:val="16"/>
                <w:szCs w:val="16"/>
              </w:rPr>
              <w:t>litros</w:t>
            </w:r>
            <w:proofErr w:type="gramEnd"/>
          </w:p>
        </w:tc>
        <w:tc>
          <w:tcPr>
            <w:tcW w:w="5440" w:type="dxa"/>
            <w:tcBorders>
              <w:top w:val="nil"/>
              <w:left w:val="nil"/>
              <w:bottom w:val="single" w:sz="4" w:space="0" w:color="auto"/>
              <w:right w:val="single" w:sz="4" w:space="0" w:color="auto"/>
            </w:tcBorders>
            <w:vAlign w:val="center"/>
          </w:tcPr>
          <w:p w:rsidR="00614E3A" w:rsidRPr="004E5CB0" w:rsidRDefault="00614E3A" w:rsidP="007D205B">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r>
    </w:tbl>
    <w:p w:rsidR="00614E3A" w:rsidRPr="00274383" w:rsidRDefault="00614E3A" w:rsidP="00614E3A">
      <w:pPr>
        <w:adjustRightInd w:val="0"/>
        <w:spacing w:line="360" w:lineRule="auto"/>
        <w:rPr>
          <w:b/>
          <w:bCs/>
          <w:color w:val="000000"/>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28797E">
        <w:t>30</w:t>
      </w:r>
      <w:r w:rsidRPr="003E689F">
        <w:t xml:space="preserve"> de </w:t>
      </w:r>
      <w:r w:rsidR="0028797E">
        <w:t>novembr</w:t>
      </w:r>
      <w:r w:rsidR="00571658">
        <w:t>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28797E">
        <w:rPr>
          <w:b/>
        </w:rPr>
        <w:t>57</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28797E">
        <w:rPr>
          <w:b/>
          <w:spacing w:val="-1"/>
        </w:rPr>
        <w:t>27</w:t>
      </w:r>
      <w:r w:rsidRPr="003E689F">
        <w:rPr>
          <w:b/>
        </w:rPr>
        <w:t>/2020</w:t>
      </w:r>
    </w:p>
    <w:p w:rsidR="00FE1AB3" w:rsidRPr="003E689F" w:rsidRDefault="00767670" w:rsidP="00E27E21">
      <w:pPr>
        <w:rPr>
          <w:b/>
        </w:rPr>
      </w:pPr>
      <w:r w:rsidRPr="003E689F">
        <w:t>PROCESSO DE COMPRAS N°</w:t>
      </w:r>
      <w:r w:rsidR="00594A66">
        <w:t xml:space="preserve"> </w:t>
      </w:r>
      <w:r w:rsidR="0028797E">
        <w:rPr>
          <w:b/>
        </w:rPr>
        <w:t>57</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28797E">
        <w:rPr>
          <w:b/>
          <w:bCs/>
          <w:color w:val="000000"/>
        </w:rPr>
        <w:t>PREGÃO ELETRÔNICO N.º 27</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28797E">
        <w:rPr>
          <w:b/>
          <w:bCs/>
        </w:rPr>
        <w:t>57</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614E3A" w:rsidRDefault="00614E3A" w:rsidP="00614E3A">
      <w:pPr>
        <w:pStyle w:val="SemEspaamento"/>
        <w:numPr>
          <w:ilvl w:val="0"/>
          <w:numId w:val="16"/>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p>
    <w:p w:rsidR="00614E3A" w:rsidRPr="003E689F" w:rsidRDefault="00614E3A" w:rsidP="00614E3A">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614E3A" w:rsidRPr="004E5CB0" w:rsidTr="007D205B">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7D205B">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7D205B">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Pr="004E5CB0" w:rsidRDefault="00614E3A" w:rsidP="007D205B">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Default="00614E3A" w:rsidP="007D205B">
            <w:pPr>
              <w:jc w:val="center"/>
              <w:rPr>
                <w:b/>
                <w:sz w:val="18"/>
                <w:szCs w:val="18"/>
              </w:rPr>
            </w:pPr>
            <w:r>
              <w:rPr>
                <w:b/>
                <w:sz w:val="18"/>
                <w:szCs w:val="18"/>
              </w:rPr>
              <w:t>Valor Total</w:t>
            </w:r>
          </w:p>
        </w:tc>
      </w:tr>
      <w:tr w:rsidR="00614E3A" w:rsidRPr="004E5CB0" w:rsidTr="007D205B">
        <w:tblPrEx>
          <w:tblLook w:val="00A0" w:firstRow="1" w:lastRow="0" w:firstColumn="1" w:lastColumn="0" w:noHBand="0" w:noVBand="0"/>
        </w:tblPrEx>
        <w:trPr>
          <w:trHeight w:val="510"/>
          <w:jc w:val="center"/>
        </w:trPr>
        <w:tc>
          <w:tcPr>
            <w:tcW w:w="567" w:type="dxa"/>
            <w:tcBorders>
              <w:top w:val="nil"/>
              <w:left w:val="single" w:sz="8" w:space="0" w:color="auto"/>
              <w:bottom w:val="nil"/>
              <w:right w:val="single" w:sz="4" w:space="0" w:color="auto"/>
            </w:tcBorders>
            <w:vAlign w:val="center"/>
          </w:tcPr>
          <w:p w:rsidR="00614E3A" w:rsidRPr="009C571E" w:rsidRDefault="00614E3A" w:rsidP="007D205B">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28797E" w:rsidP="0028797E">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614E3A" w:rsidRPr="004E5CB0" w:rsidRDefault="00614E3A" w:rsidP="007D205B">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614E3A" w:rsidRPr="004E5CB0" w:rsidRDefault="00614E3A" w:rsidP="007D205B">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614E3A" w:rsidRPr="0030279E" w:rsidRDefault="00614E3A" w:rsidP="007D205B">
            <w:pPr>
              <w:jc w:val="both"/>
              <w:rPr>
                <w:sz w:val="20"/>
                <w:szCs w:val="20"/>
              </w:rPr>
            </w:pPr>
          </w:p>
        </w:tc>
        <w:tc>
          <w:tcPr>
            <w:tcW w:w="1173" w:type="dxa"/>
            <w:tcBorders>
              <w:top w:val="nil"/>
              <w:left w:val="nil"/>
              <w:bottom w:val="nil"/>
              <w:right w:val="single" w:sz="4" w:space="0" w:color="auto"/>
            </w:tcBorders>
          </w:tcPr>
          <w:p w:rsidR="00614E3A" w:rsidRPr="0030279E" w:rsidRDefault="00614E3A" w:rsidP="007D205B">
            <w:pPr>
              <w:jc w:val="both"/>
              <w:rPr>
                <w:sz w:val="20"/>
                <w:szCs w:val="20"/>
              </w:rPr>
            </w:pPr>
          </w:p>
        </w:tc>
      </w:tr>
    </w:tbl>
    <w:p w:rsidR="00614E3A" w:rsidRPr="00274383" w:rsidRDefault="00614E3A" w:rsidP="00614E3A">
      <w:pPr>
        <w:adjustRightInd w:val="0"/>
        <w:spacing w:line="360" w:lineRule="auto"/>
        <w:rPr>
          <w:b/>
          <w:bCs/>
          <w:color w:val="000000"/>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173987">
        <w:rPr>
          <w:b/>
          <w:bCs/>
          <w:color w:val="000000"/>
        </w:rPr>
        <w:t>Processo Administrativo n.º 0</w:t>
      </w:r>
      <w:r w:rsidR="005D2FFB">
        <w:rPr>
          <w:b/>
          <w:bCs/>
          <w:color w:val="000000"/>
        </w:rPr>
        <w:t>57</w:t>
      </w:r>
      <w:r w:rsidRPr="003E689F">
        <w:rPr>
          <w:b/>
          <w:bCs/>
          <w:color w:val="000000"/>
        </w:rPr>
        <w:t>/2020</w:t>
      </w:r>
      <w:r w:rsidRPr="003E689F">
        <w:t xml:space="preserve">, assim como todos os termos do Edital de </w:t>
      </w:r>
      <w:r w:rsidRPr="003E689F">
        <w:rPr>
          <w:b/>
          <w:bCs/>
        </w:rPr>
        <w:t>Pregão Presencial Nº 0</w:t>
      </w:r>
      <w:r w:rsidR="005D2FFB">
        <w:rPr>
          <w:b/>
          <w:bCs/>
        </w:rPr>
        <w:t>27</w:t>
      </w:r>
      <w:bookmarkStart w:id="0" w:name="_GoBack"/>
      <w:bookmarkEnd w:id="0"/>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8797E" w:rsidRPr="00D7167C" w:rsidRDefault="0028797E" w:rsidP="0028797E">
      <w:pPr>
        <w:jc w:val="center"/>
        <w:outlineLvl w:val="0"/>
      </w:pPr>
      <w:r w:rsidRPr="00D7167C">
        <w:t>Fabrício Américo de Faria</w:t>
      </w:r>
    </w:p>
    <w:p w:rsidR="0028797E" w:rsidRPr="00D7167C" w:rsidRDefault="0028797E" w:rsidP="0028797E">
      <w:pPr>
        <w:jc w:val="center"/>
        <w:outlineLvl w:val="0"/>
      </w:pPr>
      <w:r w:rsidRPr="00D7167C">
        <w:t>Chefe do Departamento de Transporte e Manutenção de Frota</w:t>
      </w:r>
    </w:p>
    <w:p w:rsidR="002D3F34" w:rsidRPr="0028797E" w:rsidRDefault="002D3F34" w:rsidP="002D3F34">
      <w:pPr>
        <w:pStyle w:val="Recuodecorpodetexto"/>
        <w:spacing w:after="0"/>
        <w:ind w:left="0"/>
        <w:jc w:val="center"/>
        <w:outlineLvl w:val="0"/>
        <w:rPr>
          <w:rFonts w:ascii="Arial" w:hAnsi="Arial" w:cs="Arial"/>
          <w:sz w:val="22"/>
          <w:szCs w:val="22"/>
          <w:lang w:val="pt-PT"/>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594A66" w:rsidRPr="003E689F" w:rsidRDefault="00594A66" w:rsidP="002D3F34">
      <w:pPr>
        <w:jc w:val="both"/>
      </w:pPr>
    </w:p>
    <w:p w:rsidR="002D3F34" w:rsidRDefault="002D3F34"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Pr="003E689F" w:rsidRDefault="0028797E"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1-__________________________________________</w:t>
      </w:r>
      <w:r w:rsidR="00571658">
        <w:t>________</w:t>
      </w:r>
      <w:r w:rsidRPr="003E689F">
        <w:t>RG:_____________________</w:t>
      </w:r>
      <w:r w:rsidR="00571658">
        <w:t>_____</w:t>
      </w:r>
      <w:r w:rsidRPr="003E689F">
        <w:t xml:space="preserve"> </w:t>
      </w:r>
    </w:p>
    <w:p w:rsidR="002D3F34" w:rsidRPr="003E689F" w:rsidRDefault="002D3F34" w:rsidP="002D3F34">
      <w:pPr>
        <w:jc w:val="both"/>
      </w:pPr>
    </w:p>
    <w:p w:rsidR="002D3F34" w:rsidRPr="003E689F" w:rsidRDefault="002D3F34" w:rsidP="002D3F34">
      <w:pPr>
        <w:jc w:val="both"/>
      </w:pPr>
      <w:r w:rsidRPr="003E689F">
        <w:t>2-__________________________________________</w:t>
      </w:r>
      <w:r w:rsidR="00571658">
        <w:t>________</w:t>
      </w:r>
      <w:r w:rsidRPr="003E689F">
        <w:t>RG:_____________________</w:t>
      </w:r>
      <w:r w:rsidR="00571658">
        <w:t>_____</w:t>
      </w:r>
      <w:r w:rsidRPr="003E689F">
        <w:t xml:space="preserve">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28797E">
        <w:rPr>
          <w:b/>
        </w:rPr>
        <w:t>27</w:t>
      </w:r>
      <w:r w:rsidR="002D3F34" w:rsidRPr="003E689F">
        <w:rPr>
          <w:b/>
        </w:rPr>
        <w:t>/2020</w:t>
      </w:r>
    </w:p>
    <w:p w:rsidR="002D3F34" w:rsidRPr="003E689F" w:rsidRDefault="002D3F34" w:rsidP="002D3F34">
      <w:pPr>
        <w:adjustRightInd w:val="0"/>
        <w:jc w:val="both"/>
        <w:rPr>
          <w:b/>
        </w:rPr>
      </w:pPr>
    </w:p>
    <w:p w:rsidR="003E689F" w:rsidRPr="001E6715" w:rsidRDefault="002D3F34" w:rsidP="003E689F">
      <w:pPr>
        <w:pStyle w:val="SemEspaamento"/>
        <w:jc w:val="both"/>
        <w:rPr>
          <w:rFonts w:ascii="Arial" w:eastAsia="Arial" w:hAnsi="Arial" w:cs="Arial"/>
          <w:b/>
        </w:rPr>
      </w:pPr>
      <w:r w:rsidRPr="003E689F">
        <w:rPr>
          <w:rFonts w:ascii="Arial" w:eastAsia="Arial" w:hAnsi="Arial" w:cs="Arial"/>
          <w:b/>
        </w:rPr>
        <w:t>OBJETO:</w:t>
      </w:r>
      <w:r w:rsidR="001E6715">
        <w:rPr>
          <w:rFonts w:ascii="Arial" w:eastAsia="Arial" w:hAnsi="Arial" w:cs="Arial"/>
          <w:b/>
        </w:rPr>
        <w:t xml:space="preserve"> “</w:t>
      </w:r>
      <w:r w:rsidR="00571658" w:rsidRPr="00571658">
        <w:rPr>
          <w:rFonts w:ascii="Arial" w:eastAsia="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003E689F" w:rsidRPr="001E6715">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5F" w:rsidRDefault="00F1635F">
      <w:r>
        <w:separator/>
      </w:r>
    </w:p>
  </w:endnote>
  <w:endnote w:type="continuationSeparator" w:id="0">
    <w:p w:rsidR="00F1635F" w:rsidRDefault="00F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5F" w:rsidRDefault="00F1635F"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F1635F" w:rsidRDefault="00F1635F"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F1635F" w:rsidRDefault="00F1635F" w:rsidP="000057CE">
    <w:pPr>
      <w:pStyle w:val="Rodap"/>
      <w:pBdr>
        <w:top w:val="single" w:sz="4" w:space="0" w:color="auto"/>
      </w:pBdr>
      <w:jc w:val="center"/>
    </w:pPr>
    <w:r>
      <w:rPr>
        <w:sz w:val="20"/>
      </w:rPr>
      <w:t xml:space="preserve"> </w:t>
    </w:r>
  </w:p>
  <w:p w:rsidR="00F1635F" w:rsidRDefault="00F1635F">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Pr="00C12CE3" w:rsidRDefault="00F1635F"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571658" w:rsidRPr="00C12CE3" w:rsidRDefault="0057165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5F" w:rsidRDefault="00F1635F">
      <w:r>
        <w:separator/>
      </w:r>
    </w:p>
  </w:footnote>
  <w:footnote w:type="continuationSeparator" w:id="0">
    <w:p w:rsidR="00F1635F" w:rsidRDefault="00F1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5F" w:rsidRDefault="00F1635F"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F1635F" w:rsidRDefault="00F1635F" w:rsidP="000057CE">
    <w:pPr>
      <w:pStyle w:val="Cabealho"/>
      <w:jc w:val="center"/>
    </w:pPr>
    <w:r>
      <w:rPr>
        <w:rFonts w:ascii="SheerElegance" w:hAnsi="SheerElegance"/>
        <w:b/>
        <w:sz w:val="36"/>
      </w:rPr>
      <w:t xml:space="preserve">  Estado de São Paulo</w:t>
    </w:r>
  </w:p>
  <w:p w:rsidR="00F1635F" w:rsidRDefault="00F1635F">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Default="00F1635F">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571658" w:rsidRDefault="0057165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Pr="00C12CE3" w:rsidRDefault="00F1635F"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571658" w:rsidRPr="00C12CE3" w:rsidRDefault="0057165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2D4198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1">
    <w:nsid w:val="59FC65E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3">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4">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abstractNum w:abstractNumId="15">
    <w:nsid w:val="7DF20196"/>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12"/>
  </w:num>
  <w:num w:numId="3">
    <w:abstractNumId w:val="5"/>
  </w:num>
  <w:num w:numId="4">
    <w:abstractNumId w:val="3"/>
  </w:num>
  <w:num w:numId="5">
    <w:abstractNumId w:val="10"/>
  </w:num>
  <w:num w:numId="6">
    <w:abstractNumId w:val="4"/>
  </w:num>
  <w:num w:numId="7">
    <w:abstractNumId w:val="1"/>
  </w:num>
  <w:num w:numId="8">
    <w:abstractNumId w:val="2"/>
  </w:num>
  <w:num w:numId="9">
    <w:abstractNumId w:val="14"/>
  </w:num>
  <w:num w:numId="10">
    <w:abstractNumId w:val="9"/>
  </w:num>
  <w:num w:numId="11">
    <w:abstractNumId w:val="0"/>
  </w:num>
  <w:num w:numId="12">
    <w:abstractNumId w:val="6"/>
  </w:num>
  <w:num w:numId="13">
    <w:abstractNumId w:val="8"/>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A3A13"/>
    <w:rsid w:val="0015158D"/>
    <w:rsid w:val="001517A5"/>
    <w:rsid w:val="00173987"/>
    <w:rsid w:val="00185A2F"/>
    <w:rsid w:val="001C3060"/>
    <w:rsid w:val="001C3C0A"/>
    <w:rsid w:val="001E6715"/>
    <w:rsid w:val="0027031C"/>
    <w:rsid w:val="00274383"/>
    <w:rsid w:val="0028797E"/>
    <w:rsid w:val="002B567C"/>
    <w:rsid w:val="002D3F34"/>
    <w:rsid w:val="00362144"/>
    <w:rsid w:val="0039676A"/>
    <w:rsid w:val="003E689F"/>
    <w:rsid w:val="00444F44"/>
    <w:rsid w:val="00465743"/>
    <w:rsid w:val="00496F57"/>
    <w:rsid w:val="004B154D"/>
    <w:rsid w:val="004C69D8"/>
    <w:rsid w:val="004D32E9"/>
    <w:rsid w:val="004E5015"/>
    <w:rsid w:val="00533EFC"/>
    <w:rsid w:val="00571658"/>
    <w:rsid w:val="00594A66"/>
    <w:rsid w:val="005D2FFB"/>
    <w:rsid w:val="00614E3A"/>
    <w:rsid w:val="00631482"/>
    <w:rsid w:val="00675670"/>
    <w:rsid w:val="006B7D11"/>
    <w:rsid w:val="00764D34"/>
    <w:rsid w:val="00767670"/>
    <w:rsid w:val="007D205B"/>
    <w:rsid w:val="007F77AC"/>
    <w:rsid w:val="008255EF"/>
    <w:rsid w:val="00835F8F"/>
    <w:rsid w:val="008B1005"/>
    <w:rsid w:val="008F2199"/>
    <w:rsid w:val="00963B4E"/>
    <w:rsid w:val="00995F46"/>
    <w:rsid w:val="009B6230"/>
    <w:rsid w:val="009C0996"/>
    <w:rsid w:val="009E03F4"/>
    <w:rsid w:val="009F7086"/>
    <w:rsid w:val="00A415F0"/>
    <w:rsid w:val="00AC1E14"/>
    <w:rsid w:val="00AE4583"/>
    <w:rsid w:val="00AF21E0"/>
    <w:rsid w:val="00B15233"/>
    <w:rsid w:val="00C12CE3"/>
    <w:rsid w:val="00C13E9C"/>
    <w:rsid w:val="00C14C90"/>
    <w:rsid w:val="00C637D3"/>
    <w:rsid w:val="00D27EB9"/>
    <w:rsid w:val="00DA31C6"/>
    <w:rsid w:val="00DA4644"/>
    <w:rsid w:val="00E27E21"/>
    <w:rsid w:val="00E622E0"/>
    <w:rsid w:val="00F02939"/>
    <w:rsid w:val="00F1635F"/>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0DEE-6897-47F9-87E6-598D286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7389</Words>
  <Characters>39904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2010-03-17T03:17:00Z</cp:lastPrinted>
  <dcterms:created xsi:type="dcterms:W3CDTF">2010-03-17T03:16:00Z</dcterms:created>
  <dcterms:modified xsi:type="dcterms:W3CDTF">2010-03-17T03:29:00Z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